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78" w:rsidRDefault="00E75E78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E75E78" w:rsidRDefault="00E75E78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E75E78" w:rsidRDefault="00E75E78" w:rsidP="003B4E25">
      <w:pPr>
        <w:tabs>
          <w:tab w:val="left" w:pos="0"/>
          <w:tab w:val="left" w:pos="5954"/>
        </w:tabs>
        <w:spacing w:after="0" w:line="360" w:lineRule="auto"/>
        <w:rPr>
          <w:rFonts w:ascii="Myriad Pro" w:hAnsi="Myriad Pro" w:cs="Arial"/>
          <w:sz w:val="14"/>
          <w:szCs w:val="14"/>
        </w:rPr>
      </w:pPr>
    </w:p>
    <w:p w:rsidR="005615C1" w:rsidRDefault="005615C1" w:rsidP="005615C1">
      <w:pPr>
        <w:tabs>
          <w:tab w:val="left" w:pos="0"/>
          <w:tab w:val="left" w:pos="5954"/>
        </w:tabs>
        <w:spacing w:after="0" w:line="360" w:lineRule="auto"/>
        <w:rPr>
          <w:rFonts w:asciiTheme="minorHAnsi" w:eastAsia="Times New Roman" w:hAnsiTheme="minorHAnsi" w:cs="Calibri"/>
          <w:lang w:eastAsia="pl-PL"/>
        </w:rPr>
      </w:pPr>
    </w:p>
    <w:p w:rsidR="005615C1" w:rsidRDefault="005615C1" w:rsidP="005615C1">
      <w:pPr>
        <w:tabs>
          <w:tab w:val="left" w:pos="0"/>
          <w:tab w:val="left" w:pos="5954"/>
        </w:tabs>
        <w:spacing w:after="0" w:line="360" w:lineRule="auto"/>
        <w:rPr>
          <w:rFonts w:asciiTheme="minorHAnsi" w:eastAsia="Times New Roman" w:hAnsiTheme="minorHAnsi" w:cs="Calibri"/>
          <w:lang w:eastAsia="pl-PL"/>
        </w:rPr>
      </w:pPr>
    </w:p>
    <w:p w:rsidR="00E75E78" w:rsidRPr="005615C1" w:rsidRDefault="005615C1" w:rsidP="00033CF6">
      <w:pPr>
        <w:tabs>
          <w:tab w:val="left" w:pos="0"/>
          <w:tab w:val="left" w:pos="5387"/>
        </w:tabs>
        <w:spacing w:after="0" w:line="360" w:lineRule="auto"/>
        <w:rPr>
          <w:rFonts w:asciiTheme="minorHAnsi" w:hAnsiTheme="minorHAnsi" w:cs="Arial"/>
        </w:rPr>
      </w:pPr>
      <w:r w:rsidRPr="005615C1">
        <w:rPr>
          <w:rFonts w:asciiTheme="minorHAnsi" w:eastAsia="Times New Roman" w:hAnsiTheme="minorHAnsi" w:cs="Calibri"/>
          <w:lang w:eastAsia="pl-PL"/>
        </w:rPr>
        <w:t>ROPS-IV.052.</w:t>
      </w:r>
      <w:r>
        <w:rPr>
          <w:rFonts w:asciiTheme="minorHAnsi" w:eastAsia="Times New Roman" w:hAnsiTheme="minorHAnsi" w:cs="Calibri"/>
          <w:lang w:eastAsia="pl-PL"/>
        </w:rPr>
        <w:t>16</w:t>
      </w:r>
      <w:r w:rsidRPr="005615C1">
        <w:rPr>
          <w:rFonts w:asciiTheme="minorHAnsi" w:eastAsia="Times New Roman" w:hAnsiTheme="minorHAnsi" w:cs="Calibri"/>
          <w:lang w:eastAsia="pl-PL"/>
        </w:rPr>
        <w:t>.2013.AWO</w:t>
      </w:r>
      <w:r>
        <w:rPr>
          <w:rFonts w:asciiTheme="minorHAnsi" w:hAnsiTheme="minorHAnsi" w:cs="Arial"/>
        </w:rPr>
        <w:t xml:space="preserve"> </w:t>
      </w:r>
      <w:r w:rsidR="00033CF6">
        <w:rPr>
          <w:rFonts w:asciiTheme="minorHAnsi" w:hAnsiTheme="minorHAnsi" w:cs="Arial"/>
        </w:rPr>
        <w:tab/>
      </w:r>
      <w:r w:rsidR="00E75E78" w:rsidRPr="005615C1">
        <w:rPr>
          <w:rFonts w:asciiTheme="minorHAnsi" w:hAnsiTheme="minorHAnsi" w:cs="Arial"/>
        </w:rPr>
        <w:t>Szcze</w:t>
      </w:r>
      <w:r w:rsidR="00810454" w:rsidRPr="005615C1">
        <w:rPr>
          <w:rFonts w:asciiTheme="minorHAnsi" w:hAnsiTheme="minorHAnsi" w:cs="Arial"/>
        </w:rPr>
        <w:t xml:space="preserve">cin, dnia </w:t>
      </w:r>
      <w:r w:rsidR="00343116" w:rsidRPr="005615C1">
        <w:rPr>
          <w:rFonts w:asciiTheme="minorHAnsi" w:hAnsiTheme="minorHAnsi" w:cs="Arial"/>
        </w:rPr>
        <w:t>30</w:t>
      </w:r>
      <w:r w:rsidR="00810454" w:rsidRPr="005615C1">
        <w:rPr>
          <w:rFonts w:asciiTheme="minorHAnsi" w:hAnsiTheme="minorHAnsi" w:cs="Arial"/>
        </w:rPr>
        <w:t xml:space="preserve"> </w:t>
      </w:r>
      <w:r w:rsidR="00E75E78" w:rsidRPr="005615C1">
        <w:rPr>
          <w:rFonts w:asciiTheme="minorHAnsi" w:hAnsiTheme="minorHAnsi" w:cs="Arial"/>
        </w:rPr>
        <w:t>grudnia 2013 r.</w:t>
      </w:r>
    </w:p>
    <w:p w:rsidR="00E75E78" w:rsidRPr="005615C1" w:rsidRDefault="00E75E78" w:rsidP="00EE324E">
      <w:pPr>
        <w:spacing w:after="0" w:line="360" w:lineRule="auto"/>
        <w:ind w:left="5103"/>
        <w:rPr>
          <w:rFonts w:asciiTheme="minorHAnsi" w:hAnsiTheme="minorHAnsi" w:cs="Arial"/>
          <w:b/>
        </w:rPr>
      </w:pPr>
    </w:p>
    <w:p w:rsidR="00E75E78" w:rsidRPr="005615C1" w:rsidRDefault="00E75E78" w:rsidP="001B0CD0">
      <w:pPr>
        <w:spacing w:after="0" w:line="360" w:lineRule="auto"/>
        <w:ind w:left="5103"/>
        <w:rPr>
          <w:rFonts w:asciiTheme="minorHAnsi" w:hAnsiTheme="minorHAnsi" w:cs="Arial"/>
          <w:b/>
        </w:rPr>
      </w:pPr>
    </w:p>
    <w:p w:rsidR="005615C1" w:rsidRPr="005615C1" w:rsidRDefault="005615C1" w:rsidP="001B0CD0">
      <w:pPr>
        <w:spacing w:after="0" w:line="360" w:lineRule="auto"/>
        <w:ind w:left="5103"/>
        <w:rPr>
          <w:rFonts w:asciiTheme="minorHAnsi" w:hAnsiTheme="minorHAnsi" w:cs="Arial"/>
          <w:b/>
        </w:rPr>
      </w:pPr>
    </w:p>
    <w:p w:rsidR="00810454" w:rsidRPr="005615C1" w:rsidRDefault="00810454" w:rsidP="00952DE1">
      <w:pPr>
        <w:spacing w:after="0" w:line="360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5615C1" w:rsidRPr="005615C1" w:rsidRDefault="005615C1" w:rsidP="005615C1">
      <w:pPr>
        <w:spacing w:after="0" w:line="240" w:lineRule="auto"/>
        <w:ind w:left="4962"/>
        <w:rPr>
          <w:rFonts w:asciiTheme="minorHAnsi" w:eastAsia="Times New Roman" w:hAnsiTheme="minorHAnsi" w:cs="Calibri"/>
          <w:b/>
          <w:bCs/>
          <w:lang w:eastAsia="pl-PL"/>
        </w:rPr>
      </w:pPr>
      <w:r w:rsidRPr="005615C1">
        <w:rPr>
          <w:rFonts w:asciiTheme="minorHAnsi" w:eastAsia="Times New Roman" w:hAnsiTheme="minorHAnsi" w:cs="Calibri"/>
          <w:b/>
          <w:bCs/>
          <w:lang w:eastAsia="pl-PL"/>
        </w:rPr>
        <w:t>Pan</w:t>
      </w:r>
    </w:p>
    <w:p w:rsidR="005615C1" w:rsidRPr="005615C1" w:rsidRDefault="005615C1" w:rsidP="005615C1">
      <w:pPr>
        <w:spacing w:after="0" w:line="240" w:lineRule="auto"/>
        <w:ind w:left="4962"/>
        <w:rPr>
          <w:rFonts w:asciiTheme="minorHAnsi" w:eastAsia="Times New Roman" w:hAnsiTheme="minorHAnsi" w:cs="Calibri"/>
          <w:b/>
          <w:lang w:eastAsia="pl-PL"/>
        </w:rPr>
      </w:pPr>
      <w:r w:rsidRPr="005615C1">
        <w:rPr>
          <w:rFonts w:asciiTheme="minorHAnsi" w:eastAsia="Times New Roman" w:hAnsiTheme="minorHAnsi" w:cs="Calibri"/>
          <w:b/>
          <w:lang w:eastAsia="pl-PL"/>
        </w:rPr>
        <w:t>Krzysztof Barczyk</w:t>
      </w:r>
    </w:p>
    <w:p w:rsidR="005615C1" w:rsidRPr="005615C1" w:rsidRDefault="005615C1" w:rsidP="005615C1">
      <w:pPr>
        <w:spacing w:after="0" w:line="240" w:lineRule="auto"/>
        <w:ind w:left="4962"/>
        <w:rPr>
          <w:rFonts w:asciiTheme="minorHAnsi" w:eastAsia="Times New Roman" w:hAnsiTheme="minorHAnsi" w:cs="Calibri"/>
          <w:b/>
          <w:bCs/>
          <w:lang w:eastAsia="pl-PL"/>
        </w:rPr>
      </w:pPr>
      <w:r w:rsidRPr="005615C1">
        <w:rPr>
          <w:rFonts w:asciiTheme="minorHAnsi" w:eastAsia="Times New Roman" w:hAnsiTheme="minorHAnsi" w:cs="Calibri"/>
          <w:b/>
          <w:bCs/>
          <w:lang w:eastAsia="pl-PL"/>
        </w:rPr>
        <w:t>Dyrektor Gabinetu Marszałka</w:t>
      </w:r>
    </w:p>
    <w:p w:rsidR="005615C1" w:rsidRPr="005615C1" w:rsidRDefault="005615C1" w:rsidP="005615C1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</w:p>
    <w:p w:rsidR="005615C1" w:rsidRPr="005615C1" w:rsidRDefault="005615C1" w:rsidP="005615C1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</w:p>
    <w:p w:rsidR="005615C1" w:rsidRPr="005615C1" w:rsidRDefault="005615C1" w:rsidP="005615C1">
      <w:pPr>
        <w:spacing w:after="0" w:line="240" w:lineRule="auto"/>
        <w:jc w:val="both"/>
        <w:rPr>
          <w:rFonts w:asciiTheme="minorHAnsi" w:eastAsia="Times New Roman" w:hAnsiTheme="minorHAnsi" w:cs="Calibri"/>
          <w:b/>
          <w:bCs/>
          <w:lang w:eastAsia="pl-PL"/>
        </w:rPr>
      </w:pPr>
    </w:p>
    <w:p w:rsidR="005615C1" w:rsidRPr="005615C1" w:rsidRDefault="005615C1" w:rsidP="005615C1">
      <w:pPr>
        <w:spacing w:before="120" w:after="120" w:line="240" w:lineRule="auto"/>
        <w:jc w:val="both"/>
        <w:rPr>
          <w:rFonts w:asciiTheme="minorHAnsi" w:eastAsia="Times New Roman" w:hAnsiTheme="minorHAnsi" w:cs="Calibri"/>
          <w:bCs/>
          <w:u w:val="single"/>
          <w:lang w:eastAsia="pl-PL"/>
        </w:rPr>
      </w:pPr>
      <w:r w:rsidRPr="005615C1">
        <w:rPr>
          <w:rFonts w:asciiTheme="minorHAnsi" w:eastAsia="Times New Roman" w:hAnsiTheme="minorHAnsi" w:cs="Calibri"/>
          <w:bCs/>
          <w:u w:val="single"/>
          <w:lang w:eastAsia="pl-PL"/>
        </w:rPr>
        <w:t xml:space="preserve">Dotyczy: opinia w sprawie projektu Krajowego Programu Przeciwdziałania Ubóstwu </w:t>
      </w:r>
    </w:p>
    <w:p w:rsidR="005615C1" w:rsidRPr="005615C1" w:rsidRDefault="005615C1" w:rsidP="005615C1">
      <w:pPr>
        <w:spacing w:before="120" w:after="120" w:line="240" w:lineRule="auto"/>
        <w:jc w:val="both"/>
        <w:rPr>
          <w:rFonts w:asciiTheme="minorHAnsi" w:eastAsia="Times New Roman" w:hAnsiTheme="minorHAnsi" w:cs="Calibri"/>
          <w:bCs/>
          <w:u w:val="single"/>
          <w:lang w:eastAsia="pl-PL"/>
        </w:rPr>
      </w:pPr>
      <w:r w:rsidRPr="005615C1">
        <w:rPr>
          <w:rFonts w:asciiTheme="minorHAnsi" w:eastAsia="Times New Roman" w:hAnsiTheme="minorHAnsi" w:cs="Calibri"/>
          <w:bCs/>
          <w:u w:val="single"/>
          <w:lang w:eastAsia="pl-PL"/>
        </w:rPr>
        <w:t>i Wykluczeniu Społecznemu 2020.</w:t>
      </w:r>
    </w:p>
    <w:p w:rsidR="00952DE1" w:rsidRPr="005615C1" w:rsidRDefault="00952DE1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952DE1" w:rsidRPr="005615C1" w:rsidRDefault="00810454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 opinii Regionalnego Ośrodka Polityki Społecznej Urzędu Marszałkowskiego Województwa Zachodniopomorskiego w Szczecinie projekt </w:t>
      </w:r>
      <w:r w:rsidR="00343116" w:rsidRPr="005615C1">
        <w:rPr>
          <w:rFonts w:asciiTheme="minorHAnsi" w:hAnsiTheme="minorHAnsi" w:cs="Arial"/>
        </w:rPr>
        <w:t xml:space="preserve">Krajowego Programu Przeciwdziałania Ubóstwu </w:t>
      </w:r>
      <w:r w:rsidR="00D93359" w:rsidRPr="005615C1">
        <w:rPr>
          <w:rFonts w:asciiTheme="minorHAnsi" w:hAnsiTheme="minorHAnsi" w:cs="Arial"/>
        </w:rPr>
        <w:br/>
      </w:r>
      <w:r w:rsidR="00343116" w:rsidRPr="005615C1">
        <w:rPr>
          <w:rFonts w:asciiTheme="minorHAnsi" w:hAnsiTheme="minorHAnsi" w:cs="Arial"/>
        </w:rPr>
        <w:t xml:space="preserve">i Wykluczeniu Społecznemu 2020 </w:t>
      </w:r>
      <w:r w:rsidRPr="005615C1">
        <w:rPr>
          <w:rFonts w:asciiTheme="minorHAnsi" w:hAnsiTheme="minorHAnsi" w:cs="Arial"/>
        </w:rPr>
        <w:t xml:space="preserve">Ministerstwa Pracy i Polityki Społecznej jest </w:t>
      </w:r>
      <w:r w:rsidR="00343116" w:rsidRPr="005615C1">
        <w:rPr>
          <w:rFonts w:asciiTheme="minorHAnsi" w:hAnsiTheme="minorHAnsi" w:cs="Arial"/>
        </w:rPr>
        <w:t>dokumentem zapowiadającym oczekiwane zmiany, integrującym działani</w:t>
      </w:r>
      <w:r w:rsidR="004E64C0" w:rsidRPr="005615C1">
        <w:rPr>
          <w:rFonts w:asciiTheme="minorHAnsi" w:hAnsiTheme="minorHAnsi" w:cs="Arial"/>
        </w:rPr>
        <w:t>a w zakresie polityki społecznej</w:t>
      </w:r>
      <w:r w:rsidR="005615C1">
        <w:rPr>
          <w:rFonts w:asciiTheme="minorHAnsi" w:hAnsiTheme="minorHAnsi" w:cs="Arial"/>
        </w:rPr>
        <w:t xml:space="preserve"> oraz </w:t>
      </w:r>
      <w:r w:rsidR="004E64C0" w:rsidRPr="005615C1">
        <w:rPr>
          <w:rFonts w:asciiTheme="minorHAnsi" w:hAnsiTheme="minorHAnsi" w:cs="Arial"/>
        </w:rPr>
        <w:t>włączającym w działania systemowe podmioty niepubliczne.</w:t>
      </w:r>
    </w:p>
    <w:p w:rsidR="00072BC8" w:rsidRPr="005615C1" w:rsidRDefault="00072BC8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9F22A6" w:rsidRPr="005615C1" w:rsidRDefault="004E64C0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Po przeprowadzeniu spotkań konsultacyjnych z przedstawicielami instytucji rynku pracy, integracji i pomocy społecznej oraz organizacji pozarządowych działających w sferze pomocy społecznej</w:t>
      </w:r>
      <w:r w:rsidR="009F22A6" w:rsidRPr="005615C1">
        <w:rPr>
          <w:rFonts w:asciiTheme="minorHAnsi" w:hAnsiTheme="minorHAnsi" w:cs="Arial"/>
        </w:rPr>
        <w:t xml:space="preserve"> z terenu województwa zachodniopomorskiego</w:t>
      </w:r>
      <w:r w:rsidRPr="005615C1">
        <w:rPr>
          <w:rFonts w:asciiTheme="minorHAnsi" w:hAnsiTheme="minorHAnsi" w:cs="Arial"/>
        </w:rPr>
        <w:t xml:space="preserve">, ROPS przedstawia poniższe </w:t>
      </w:r>
      <w:r w:rsidR="009F22A6" w:rsidRPr="005615C1">
        <w:rPr>
          <w:rFonts w:asciiTheme="minorHAnsi" w:hAnsiTheme="minorHAnsi" w:cs="Arial"/>
        </w:rPr>
        <w:t>uwagi.</w:t>
      </w:r>
    </w:p>
    <w:p w:rsidR="009F22A6" w:rsidRPr="005615C1" w:rsidRDefault="009F22A6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9F22A6" w:rsidRPr="005615C1" w:rsidRDefault="003E3B02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Uwagi o charakterze ogólnym</w:t>
      </w:r>
    </w:p>
    <w:p w:rsidR="009F22A6" w:rsidRPr="005615C1" w:rsidRDefault="009F22A6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 dokumencie zawarto wiele kluczowych dla działania instytucji pomocy i integracji społecznej pojęć, nie zamieszczono jednak słownika, który ujednoliciłby definicję tych pojęć,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 xml:space="preserve">np. pogłębiona deprywacja materialna na stronie 4. określona jest jako niemożność zaspokojenia co najmniej czterech z dziewięciu podstawowych potrzeb, na stronie 11.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jako niemożność zaspokojenia co najmniej 6 potrzeb z 18.</w:t>
      </w:r>
    </w:p>
    <w:p w:rsidR="009F22A6" w:rsidRPr="005615C1" w:rsidRDefault="009F22A6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lastRenderedPageBreak/>
        <w:t xml:space="preserve">W dokumencie podano katalog osób </w:t>
      </w:r>
      <w:r w:rsidR="000C6D72" w:rsidRPr="005615C1">
        <w:rPr>
          <w:rFonts w:asciiTheme="minorHAnsi" w:hAnsiTheme="minorHAnsi" w:cs="Arial"/>
        </w:rPr>
        <w:t>zagrożonych</w:t>
      </w:r>
      <w:r w:rsidRPr="005615C1">
        <w:rPr>
          <w:rFonts w:asciiTheme="minorHAnsi" w:hAnsiTheme="minorHAnsi" w:cs="Arial"/>
        </w:rPr>
        <w:t xml:space="preserve"> ubóstwem i wykluczeniem </w:t>
      </w:r>
      <w:r w:rsidR="000C6D72" w:rsidRPr="005615C1">
        <w:rPr>
          <w:rFonts w:asciiTheme="minorHAnsi" w:hAnsiTheme="minorHAnsi" w:cs="Arial"/>
        </w:rPr>
        <w:t xml:space="preserve">społecznym, który, zgodnie z oczekiwaniami, jest odmienny od katalogu zawartego w Ustawie z dnia </w:t>
      </w:r>
      <w:r w:rsidR="00D93359" w:rsidRPr="005615C1">
        <w:rPr>
          <w:rFonts w:asciiTheme="minorHAnsi" w:hAnsiTheme="minorHAnsi" w:cs="Arial"/>
        </w:rPr>
        <w:br/>
      </w:r>
      <w:r w:rsidR="000C6D72" w:rsidRPr="005615C1">
        <w:rPr>
          <w:rFonts w:asciiTheme="minorHAnsi" w:hAnsiTheme="minorHAnsi" w:cs="Arial"/>
        </w:rPr>
        <w:t xml:space="preserve">13 czerwca 2003 roku o zatrudnieniu socjalnym, nie podano jednak definicji tych osób </w:t>
      </w:r>
      <w:r w:rsidR="00D93359" w:rsidRPr="005615C1">
        <w:rPr>
          <w:rFonts w:asciiTheme="minorHAnsi" w:hAnsiTheme="minorHAnsi" w:cs="Arial"/>
        </w:rPr>
        <w:br/>
      </w:r>
      <w:r w:rsidR="000C6D72" w:rsidRPr="005615C1">
        <w:rPr>
          <w:rFonts w:asciiTheme="minorHAnsi" w:hAnsiTheme="minorHAnsi" w:cs="Arial"/>
        </w:rPr>
        <w:t xml:space="preserve">i pominięto grupy osób, które szczególnie narażone są na ubóstwo, np. osoby uzależnione. Brak definicji osób zagrożonych wykluczeniem społecznym w zestawieniu z podanymi adresatami działań wprowadza nieuprawnione uproszczenia, np., że rodziny wielodzietne, </w:t>
      </w:r>
      <w:r w:rsidR="00D93359" w:rsidRPr="005615C1">
        <w:rPr>
          <w:rFonts w:asciiTheme="minorHAnsi" w:hAnsiTheme="minorHAnsi" w:cs="Arial"/>
        </w:rPr>
        <w:br/>
      </w:r>
      <w:r w:rsidR="000C6D72" w:rsidRPr="005615C1">
        <w:rPr>
          <w:rFonts w:asciiTheme="minorHAnsi" w:hAnsiTheme="minorHAnsi" w:cs="Arial"/>
        </w:rPr>
        <w:t>to klienci pomocy społecznej.</w:t>
      </w:r>
    </w:p>
    <w:p w:rsidR="009E3BCF" w:rsidRPr="005615C1" w:rsidRDefault="009E3BCF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Termin w którym przyjmowany jest projekt Programu jest zbyt późny w kontekście konstruowania Regionalnych Programów Operacyjnych, co może skutkować zaburzeniem finansowania poszczególnych działań wskazanych w Programie</w:t>
      </w:r>
      <w:r w:rsidR="005A3267" w:rsidRPr="005615C1">
        <w:rPr>
          <w:rFonts w:asciiTheme="minorHAnsi" w:hAnsiTheme="minorHAnsi" w:cs="Arial"/>
        </w:rPr>
        <w:t xml:space="preserve">. W RPO województwa zachodniopomorskiego nie przewidziano do finansowania wielu działań wskazanych </w:t>
      </w:r>
      <w:r w:rsidR="00D93359" w:rsidRPr="005615C1">
        <w:rPr>
          <w:rFonts w:asciiTheme="minorHAnsi" w:hAnsiTheme="minorHAnsi" w:cs="Arial"/>
        </w:rPr>
        <w:br/>
      </w:r>
      <w:r w:rsidR="005A3267" w:rsidRPr="005615C1">
        <w:rPr>
          <w:rFonts w:asciiTheme="minorHAnsi" w:hAnsiTheme="minorHAnsi" w:cs="Arial"/>
        </w:rPr>
        <w:t>w Programie</w:t>
      </w:r>
      <w:r w:rsidRPr="005615C1">
        <w:rPr>
          <w:rFonts w:asciiTheme="minorHAnsi" w:hAnsiTheme="minorHAnsi" w:cs="Arial"/>
        </w:rPr>
        <w:t>.</w:t>
      </w:r>
    </w:p>
    <w:p w:rsidR="009F22A6" w:rsidRPr="005615C1" w:rsidRDefault="000C6D72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Dokument wymaga korekty redakcyjnej.</w:t>
      </w:r>
    </w:p>
    <w:p w:rsidR="009F22A6" w:rsidRPr="005615C1" w:rsidRDefault="009F22A6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9D7FAB" w:rsidRPr="005615C1" w:rsidRDefault="009D7FAB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Cel operacyjny 1.</w:t>
      </w:r>
    </w:p>
    <w:p w:rsidR="00412AF0" w:rsidRPr="005615C1" w:rsidRDefault="009D7FAB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Zaskakujące, w kontekście diagnozy, jest pominięcie w rezultatach niższego rzędu dzieci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 xml:space="preserve">z rodzin niepełnych, skoro </w:t>
      </w:r>
      <w:r w:rsidR="00412AF0" w:rsidRPr="005615C1">
        <w:rPr>
          <w:rFonts w:asciiTheme="minorHAnsi" w:hAnsiTheme="minorHAnsi" w:cs="Arial"/>
        </w:rPr>
        <w:t xml:space="preserve">„według Eurostatu w 2011 r. w krajach UE 27, zagrożonych ubóstwem lub wykluczeniem społecznym było ok. 50% samotnych rodziców z dziećmi i ok. 30% rodziców z 3 i więcej dzieci”. Według diagnozy ROPS UM WZP w latach 2009-2011, rodziny pełne, korzystające ze świadczeń finansowych, składały się najczęściej z rodziców i jednego </w:t>
      </w:r>
      <w:r w:rsidR="00D93359" w:rsidRPr="005615C1">
        <w:rPr>
          <w:rFonts w:asciiTheme="minorHAnsi" w:hAnsiTheme="minorHAnsi" w:cs="Arial"/>
        </w:rPr>
        <w:br/>
      </w:r>
      <w:r w:rsidR="00412AF0" w:rsidRPr="005615C1">
        <w:rPr>
          <w:rFonts w:asciiTheme="minorHAnsi" w:hAnsiTheme="minorHAnsi" w:cs="Arial"/>
        </w:rPr>
        <w:t xml:space="preserve">lub dwojga dzieci. Liczba rodzin w skład których wchodziło troje lub czworo dzieci, </w:t>
      </w:r>
      <w:r w:rsidR="00D93359" w:rsidRPr="005615C1">
        <w:rPr>
          <w:rFonts w:asciiTheme="minorHAnsi" w:hAnsiTheme="minorHAnsi" w:cs="Arial"/>
        </w:rPr>
        <w:br/>
      </w:r>
      <w:r w:rsidR="00412AF0" w:rsidRPr="005615C1">
        <w:rPr>
          <w:rFonts w:asciiTheme="minorHAnsi" w:hAnsiTheme="minorHAnsi" w:cs="Arial"/>
        </w:rPr>
        <w:t xml:space="preserve">w omawianym okresie, pozostawała na porównywalnym poziomie, z niewielką tendencją zniżkową (w 2011 roku liczba rodzin korzystających z pomocy społecznej </w:t>
      </w:r>
      <w:r w:rsidR="00D93359" w:rsidRPr="005615C1">
        <w:rPr>
          <w:rFonts w:asciiTheme="minorHAnsi" w:hAnsiTheme="minorHAnsi" w:cs="Arial"/>
        </w:rPr>
        <w:br/>
      </w:r>
      <w:r w:rsidR="00412AF0" w:rsidRPr="005615C1">
        <w:rPr>
          <w:rFonts w:asciiTheme="minorHAnsi" w:hAnsiTheme="minorHAnsi" w:cs="Arial"/>
        </w:rPr>
        <w:t>w woj. zachodniopomorskim wynosiła: z 1 dzieckiem 29,5%, z 2 dzieci 36,8%, z 3 dzieci 19,8%, z 4 dzieci 8,0%).</w:t>
      </w:r>
      <w:r w:rsidR="009E3BCF" w:rsidRPr="005615C1">
        <w:rPr>
          <w:rFonts w:asciiTheme="minorHAnsi" w:hAnsiTheme="minorHAnsi" w:cs="Arial"/>
        </w:rPr>
        <w:t xml:space="preserve"> W diagnozie nie zawarto również istotnych dla wielu regionów Polski informacji dotyczących liczby rozwodów, liczby urodzeń pozamałżeńskich oraz dzieci trafiających </w:t>
      </w:r>
      <w:r w:rsidR="00D93359" w:rsidRPr="005615C1">
        <w:rPr>
          <w:rFonts w:asciiTheme="minorHAnsi" w:hAnsiTheme="minorHAnsi" w:cs="Arial"/>
        </w:rPr>
        <w:br/>
      </w:r>
      <w:r w:rsidR="009E3BCF" w:rsidRPr="005615C1">
        <w:rPr>
          <w:rFonts w:asciiTheme="minorHAnsi" w:hAnsiTheme="minorHAnsi" w:cs="Arial"/>
        </w:rPr>
        <w:t>do pieczy zastępczej.</w:t>
      </w:r>
    </w:p>
    <w:p w:rsidR="006913D2" w:rsidRPr="005615C1" w:rsidRDefault="006913D2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F035B1" w:rsidRPr="005615C1" w:rsidRDefault="00F035B1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I.2. Rozwój usług edukacyjnych i opiekuńczych dla dzieci</w:t>
      </w:r>
    </w:p>
    <w:p w:rsidR="00F035B1" w:rsidRPr="005615C1" w:rsidRDefault="00F035B1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Wymienione działania w większości są zadaniami gmin. Koordynacja tych działań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 xml:space="preserve">przez samorządy województw wydaje się problematyczna. Diagnoza potrzeb i planowanie działań odpowiadających tym potrzebom winna odbywać się jak najbliżej rodziny, a więc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lastRenderedPageBreak/>
        <w:t>z poziomu gminy.</w:t>
      </w:r>
      <w:r w:rsidR="00E32405" w:rsidRPr="005615C1">
        <w:rPr>
          <w:rFonts w:asciiTheme="minorHAnsi" w:hAnsiTheme="minorHAnsi" w:cs="Arial"/>
        </w:rPr>
        <w:t xml:space="preserve"> Wnioskowana zmiana, to wpisanie w koordynację jednostek samorządu terytorialnego.</w:t>
      </w:r>
    </w:p>
    <w:p w:rsidR="00E32405" w:rsidRPr="005615C1" w:rsidRDefault="00E32405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E32405" w:rsidRPr="005615C1" w:rsidRDefault="00E32405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I.3. Wsparcie działań z zakresu profilaktyki wykluczenia społecznego prowadzonych na rzecz rodziny.</w:t>
      </w:r>
    </w:p>
    <w:p w:rsidR="00E32405" w:rsidRPr="005615C1" w:rsidRDefault="00E32405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Nie określono kto miałby odpowiadać za certyfikację szkół rodzenia. Przy braku finansowania tego typu działalności ze środków publicznych certyfikacja </w:t>
      </w:r>
      <w:r w:rsidR="005A3267" w:rsidRPr="005615C1">
        <w:rPr>
          <w:rFonts w:asciiTheme="minorHAnsi" w:hAnsiTheme="minorHAnsi" w:cs="Arial"/>
        </w:rPr>
        <w:t>wydaje się</w:t>
      </w:r>
      <w:r w:rsidRPr="005615C1">
        <w:rPr>
          <w:rFonts w:asciiTheme="minorHAnsi" w:hAnsiTheme="minorHAnsi" w:cs="Arial"/>
        </w:rPr>
        <w:t xml:space="preserve"> problematyczna [1) c].</w:t>
      </w:r>
    </w:p>
    <w:p w:rsidR="00E32405" w:rsidRPr="005615C1" w:rsidRDefault="006913D2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ROPS proponuje włączenie w koordynację działania Ministerstwa Sprawiedliwości, tak, </w:t>
      </w:r>
      <w:r w:rsidRPr="005615C1">
        <w:rPr>
          <w:rFonts w:asciiTheme="minorHAnsi" w:hAnsiTheme="minorHAnsi" w:cs="Arial"/>
        </w:rPr>
        <w:br/>
        <w:t>by włączyć do współpracy sądy rodzinne. Z</w:t>
      </w:r>
      <w:r w:rsidR="00E32405" w:rsidRPr="005615C1">
        <w:rPr>
          <w:rFonts w:asciiTheme="minorHAnsi" w:hAnsiTheme="minorHAnsi" w:cs="Arial"/>
        </w:rPr>
        <w:t>większ</w:t>
      </w:r>
      <w:r w:rsidRPr="005615C1">
        <w:rPr>
          <w:rFonts w:asciiTheme="minorHAnsi" w:hAnsiTheme="minorHAnsi" w:cs="Arial"/>
        </w:rPr>
        <w:t>y to efektywność</w:t>
      </w:r>
      <w:r w:rsidR="00E32405" w:rsidRPr="005615C1">
        <w:rPr>
          <w:rFonts w:asciiTheme="minorHAnsi" w:hAnsiTheme="minorHAnsi" w:cs="Arial"/>
        </w:rPr>
        <w:t xml:space="preserve"> działań związanych </w:t>
      </w:r>
      <w:r w:rsidRPr="005615C1">
        <w:rPr>
          <w:rFonts w:asciiTheme="minorHAnsi" w:hAnsiTheme="minorHAnsi" w:cs="Arial"/>
        </w:rPr>
        <w:br/>
      </w:r>
      <w:r w:rsidR="00E32405" w:rsidRPr="005615C1">
        <w:rPr>
          <w:rFonts w:asciiTheme="minorHAnsi" w:hAnsiTheme="minorHAnsi" w:cs="Arial"/>
        </w:rPr>
        <w:t>z umożliwieniem powrotu dzieci będących w pieczy zastępczej do rodzin biologicznych</w:t>
      </w:r>
      <w:r w:rsidR="005A3267" w:rsidRPr="005615C1">
        <w:rPr>
          <w:rFonts w:asciiTheme="minorHAnsi" w:hAnsiTheme="minorHAnsi" w:cs="Arial"/>
        </w:rPr>
        <w:t xml:space="preserve"> </w:t>
      </w:r>
      <w:r w:rsidRPr="005615C1">
        <w:rPr>
          <w:rFonts w:asciiTheme="minorHAnsi" w:hAnsiTheme="minorHAnsi" w:cs="Arial"/>
        </w:rPr>
        <w:br/>
      </w:r>
      <w:r w:rsidR="005A3267" w:rsidRPr="005615C1">
        <w:rPr>
          <w:rFonts w:asciiTheme="minorHAnsi" w:hAnsiTheme="minorHAnsi" w:cs="Arial"/>
        </w:rPr>
        <w:t>oraz zapobieganiu pogłębiania się dysfunkcji wychowawczych</w:t>
      </w:r>
      <w:r w:rsidR="00E32405" w:rsidRPr="005615C1">
        <w:rPr>
          <w:rFonts w:asciiTheme="minorHAnsi" w:hAnsiTheme="minorHAnsi" w:cs="Arial"/>
        </w:rPr>
        <w:t xml:space="preserve"> </w:t>
      </w:r>
      <w:r w:rsidR="005A3267" w:rsidRPr="005615C1">
        <w:rPr>
          <w:rFonts w:asciiTheme="minorHAnsi" w:hAnsiTheme="minorHAnsi" w:cs="Arial"/>
        </w:rPr>
        <w:t xml:space="preserve">opiekunów </w:t>
      </w:r>
      <w:r w:rsidR="00E32405" w:rsidRPr="005615C1">
        <w:rPr>
          <w:rFonts w:asciiTheme="minorHAnsi" w:hAnsiTheme="minorHAnsi" w:cs="Arial"/>
        </w:rPr>
        <w:t>[</w:t>
      </w:r>
      <w:r w:rsidR="005A3267" w:rsidRPr="005615C1">
        <w:rPr>
          <w:rFonts w:asciiTheme="minorHAnsi" w:hAnsiTheme="minorHAnsi" w:cs="Arial"/>
        </w:rPr>
        <w:t>2) b, c]</w:t>
      </w:r>
      <w:r w:rsidRPr="005615C1">
        <w:rPr>
          <w:rFonts w:asciiTheme="minorHAnsi" w:hAnsiTheme="minorHAnsi" w:cs="Arial"/>
        </w:rPr>
        <w:t xml:space="preserve">. </w:t>
      </w:r>
      <w:r w:rsidR="005A3267" w:rsidRPr="005615C1">
        <w:rPr>
          <w:rFonts w:asciiTheme="minorHAnsi" w:hAnsiTheme="minorHAnsi" w:cs="Arial"/>
        </w:rPr>
        <w:t xml:space="preserve">Sądy mogłyby motywować opiekunów zagrożonych odebraniem praw rodzicielskich, bądź ich pozbawionych, do współpracy z instytucjami pomocy społecznej. Sądy rodzinne powinny </w:t>
      </w:r>
      <w:r w:rsidRPr="005615C1">
        <w:rPr>
          <w:rFonts w:asciiTheme="minorHAnsi" w:hAnsiTheme="minorHAnsi" w:cs="Arial"/>
        </w:rPr>
        <w:br/>
      </w:r>
      <w:r w:rsidR="005A3267" w:rsidRPr="005615C1">
        <w:rPr>
          <w:rFonts w:asciiTheme="minorHAnsi" w:hAnsiTheme="minorHAnsi" w:cs="Arial"/>
        </w:rPr>
        <w:t>w pierwszej kolejności kierować takich opiekunów na terapię. Współpracując z instytucjami pomocy społecznej, sądy dysponowałby też bazą danych o instytucjach prowadzących terapie, konsultacje.</w:t>
      </w:r>
    </w:p>
    <w:p w:rsidR="00E32405" w:rsidRPr="005615C1" w:rsidRDefault="00F23CDF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W koordynację winny być włączone jednostki samorządu terytorialnego.</w:t>
      </w:r>
    </w:p>
    <w:p w:rsidR="006913D2" w:rsidRPr="005615C1" w:rsidRDefault="006913D2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</w:p>
    <w:p w:rsidR="00F23CDF" w:rsidRPr="005615C1" w:rsidRDefault="00F23CDF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I.4. Wsparcie rodzin w kryzysie.</w:t>
      </w:r>
    </w:p>
    <w:p w:rsidR="00F23CDF" w:rsidRPr="005615C1" w:rsidRDefault="00B73F00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 koordynację działań wspierających rodzinę będącą w kryzysie winno być również włączone Ministerstwo Sprawiedliwości oraz Ministerstwo Zdrowia. Z diagnozy obecnie funkcjonujących zespołów interdyscyplinarnych wynika, że taka współpraca międzysektorowa jest konieczna </w:t>
      </w:r>
      <w:r w:rsidR="006913D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dla poprawy efektywności działania tych zespołów.</w:t>
      </w:r>
    </w:p>
    <w:p w:rsidR="00B73F00" w:rsidRPr="005615C1" w:rsidRDefault="00B73F00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Kształcenie i doskonalenie przewidziane w ramach działania 3)</w:t>
      </w:r>
      <w:r w:rsidR="005615C1">
        <w:rPr>
          <w:rFonts w:asciiTheme="minorHAnsi" w:hAnsiTheme="minorHAnsi" w:cs="Arial"/>
        </w:rPr>
        <w:t xml:space="preserve"> d) ROPS proponuje rozszerzyć o </w:t>
      </w:r>
      <w:r w:rsidRPr="005615C1">
        <w:rPr>
          <w:rFonts w:asciiTheme="minorHAnsi" w:hAnsiTheme="minorHAnsi" w:cs="Arial"/>
        </w:rPr>
        <w:t>pracowników placówek opiekuńczo-wychowawczych.</w:t>
      </w:r>
    </w:p>
    <w:p w:rsidR="005C0DC1" w:rsidRPr="005615C1" w:rsidRDefault="005C0DC1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F23CDF" w:rsidRPr="005615C1" w:rsidRDefault="005C0DC1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 xml:space="preserve">Działanie I.5. Poszerzenie zakresu wsparcia w systemie świadczeń finansowych </w:t>
      </w:r>
      <w:r w:rsidR="00D93359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>dla rodzin.</w:t>
      </w:r>
    </w:p>
    <w:p w:rsidR="005C0DC1" w:rsidRPr="005615C1" w:rsidRDefault="005C0DC1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Weryfikację świadczeń rodzinnych ROPS proponuje określić cyklem zmian (stałe okresy,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np. co trzy lata).</w:t>
      </w:r>
    </w:p>
    <w:p w:rsidR="00F23CDF" w:rsidRPr="005615C1" w:rsidRDefault="00F23CDF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F23CDF" w:rsidRPr="005615C1" w:rsidRDefault="005C0DC1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lastRenderedPageBreak/>
        <w:t xml:space="preserve">Działanie II.1. Wzmocnienie funkcji socjalnej i wczesno-interwencyjnej szkoły, </w:t>
      </w:r>
      <w:r w:rsidR="00D93359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 xml:space="preserve">w koordynacji z rozwojem różnych usług profilaktycznych i socjoterapeutycznych </w:t>
      </w:r>
      <w:r w:rsidR="00D93359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>dla dzieci i młodzieży realizowanych poza szkołą w środowisku.</w:t>
      </w:r>
    </w:p>
    <w:p w:rsidR="005C0DC1" w:rsidRPr="005615C1" w:rsidRDefault="005C0DC1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Istotnym elementem działań </w:t>
      </w:r>
      <w:r w:rsidR="002F23FF" w:rsidRPr="005615C1">
        <w:rPr>
          <w:rFonts w:asciiTheme="minorHAnsi" w:hAnsiTheme="minorHAnsi" w:cs="Arial"/>
        </w:rPr>
        <w:t xml:space="preserve">adresowanych do osób zagrożonych wykluczeniem społecznym </w:t>
      </w:r>
      <w:r w:rsidRPr="005615C1">
        <w:rPr>
          <w:rFonts w:asciiTheme="minorHAnsi" w:hAnsiTheme="minorHAnsi" w:cs="Arial"/>
        </w:rPr>
        <w:t xml:space="preserve">jest włączanie </w:t>
      </w:r>
      <w:r w:rsidR="002F23FF" w:rsidRPr="005615C1">
        <w:rPr>
          <w:rFonts w:asciiTheme="minorHAnsi" w:hAnsiTheme="minorHAnsi" w:cs="Arial"/>
        </w:rPr>
        <w:t xml:space="preserve">ich </w:t>
      </w:r>
      <w:r w:rsidRPr="005615C1">
        <w:rPr>
          <w:rFonts w:asciiTheme="minorHAnsi" w:hAnsiTheme="minorHAnsi" w:cs="Arial"/>
        </w:rPr>
        <w:t>w główny nurt życia społecznego</w:t>
      </w:r>
      <w:r w:rsidR="002F23FF" w:rsidRPr="005615C1">
        <w:rPr>
          <w:rFonts w:asciiTheme="minorHAnsi" w:hAnsiTheme="minorHAnsi" w:cs="Arial"/>
        </w:rPr>
        <w:t>. W</w:t>
      </w:r>
      <w:r w:rsidRPr="005615C1">
        <w:rPr>
          <w:rFonts w:asciiTheme="minorHAnsi" w:hAnsiTheme="minorHAnsi" w:cs="Arial"/>
        </w:rPr>
        <w:t xml:space="preserve"> związku z tym celowe jest realizowanie programów, które adresowane będą do środowiska uczniów, a nie tylko uczniów zagr</w:t>
      </w:r>
      <w:r w:rsidR="002F23FF" w:rsidRPr="005615C1">
        <w:rPr>
          <w:rFonts w:asciiTheme="minorHAnsi" w:hAnsiTheme="minorHAnsi" w:cs="Arial"/>
        </w:rPr>
        <w:t>ożonych wykluczeniem społecznym</w:t>
      </w:r>
      <w:r w:rsidRPr="005615C1">
        <w:rPr>
          <w:rFonts w:asciiTheme="minorHAnsi" w:hAnsiTheme="minorHAnsi" w:cs="Arial"/>
        </w:rPr>
        <w:t xml:space="preserve"> [1) b)]</w:t>
      </w:r>
      <w:r w:rsidR="002F23FF" w:rsidRPr="005615C1">
        <w:rPr>
          <w:rFonts w:asciiTheme="minorHAnsi" w:hAnsiTheme="minorHAnsi" w:cs="Arial"/>
        </w:rPr>
        <w:t>, tak by działania takie nie prowadziły do dalszej stygmatyzacji.</w:t>
      </w:r>
    </w:p>
    <w:p w:rsidR="002F23FF" w:rsidRPr="005615C1" w:rsidRDefault="002F23FF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Działanie II.1. 2) zapis niezrozumiały.</w:t>
      </w:r>
    </w:p>
    <w:p w:rsidR="002F23FF" w:rsidRPr="005615C1" w:rsidRDefault="002F23FF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Przedsięwzięcia integracyjno-socjalne [3) c)] prowadzone przez szkoły i podmioty ekonomii społecznej dla dzieci i mł</w:t>
      </w:r>
      <w:r w:rsidR="009135F5" w:rsidRPr="005615C1">
        <w:rPr>
          <w:rFonts w:asciiTheme="minorHAnsi" w:hAnsiTheme="minorHAnsi" w:cs="Arial"/>
        </w:rPr>
        <w:t>odzieży z rodzin dysfunkcyjnych, bez włączenia społeczności całej szkoły wydają się przeczyć postulowanemu solidaryzmowi społecznemu oraz obywatelskiej aktywności.</w:t>
      </w:r>
    </w:p>
    <w:p w:rsidR="00F23CDF" w:rsidRPr="005615C1" w:rsidRDefault="009135F5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W działaniu 4) a) nie zdefiniowano kontraktu uczniowskiego, ROPS proponuje zawarcie kontraktu uczniowskiego w kontrakcie rodzinnym, który dzięki oddziaływaniu na całą rodzinę mógłby skutkować efektywniejszą zmianą.</w:t>
      </w:r>
    </w:p>
    <w:p w:rsidR="009135F5" w:rsidRPr="005615C1" w:rsidRDefault="009135F5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9135F5" w:rsidRPr="005615C1" w:rsidRDefault="009135F5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 xml:space="preserve">Działanie II.2. Unowocześnienie systemu kształcenia młodzieży poprzez zorientowanie </w:t>
      </w:r>
      <w:r w:rsidR="00D93359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 xml:space="preserve">na kształcenie kompetencji kluczowych: kreatywności, przedsiębiorczości </w:t>
      </w:r>
      <w:r w:rsidR="00D93359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>oraz kooperacji.</w:t>
      </w:r>
    </w:p>
    <w:p w:rsidR="009135F5" w:rsidRPr="005615C1" w:rsidRDefault="004636FA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 działaniu tym Autorzy postulują rozwijanie postaw i kompetencji społecznych (zamiennie </w:t>
      </w:r>
      <w:r w:rsidR="00D93359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z kompetencjami budującymi kapitał społeczny), wymieniając kreatywność, przedsiębiorczość oraz kooperację. W Europejskich Ramach Odniesienia postawy, umiejętności i wiedza definiowane są łącznie jako element kompetencji. Dokument ten ustanawia osiem kompetencji kluczowych, które są niezbędne do samorealizacji i rozwoju osobistego, bycia aktywnym obywatelem oraz są istotne przy integracji społecznej i zatrudnienia. ROPS proponuje posługiwanie się definicją przyjętą w Europejskich Ramach Odniesienia.</w:t>
      </w:r>
    </w:p>
    <w:p w:rsidR="009135F5" w:rsidRPr="005615C1" w:rsidRDefault="009135F5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4636FA" w:rsidRPr="005615C1" w:rsidRDefault="004636FA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 xml:space="preserve">Działanie II.3. Doskonalenie modelu kształcenia zawodowego oraz promocja </w:t>
      </w:r>
      <w:r w:rsidR="00D93359" w:rsidRPr="005615C1">
        <w:rPr>
          <w:rFonts w:asciiTheme="minorHAnsi" w:hAnsiTheme="minorHAnsi" w:cs="Arial"/>
          <w:b/>
        </w:rPr>
        <w:t>kształcenia zawodowego w powiązaniu z rynkiem pracy.</w:t>
      </w:r>
    </w:p>
    <w:p w:rsidR="00D93359" w:rsidRPr="005615C1" w:rsidRDefault="00D93359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Zgodnie z diagnozą zawartą w opisie działania, absolwenci szkół zawodowych, często „otrzymują kwalifikacje i umiejętności nie odpowiadające aktualnym wymogom rynku pracy”. </w:t>
      </w:r>
      <w:r w:rsidR="003E3B0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lastRenderedPageBreak/>
        <w:t>W opinii ROPS wynika to w głównej mierze z niedostosowania oferty kształcenia zawodowego do potrzeb lokalnego rynku pracy</w:t>
      </w:r>
      <w:r w:rsidR="008A0844" w:rsidRPr="005615C1">
        <w:rPr>
          <w:rFonts w:asciiTheme="minorHAnsi" w:hAnsiTheme="minorHAnsi" w:cs="Arial"/>
        </w:rPr>
        <w:t xml:space="preserve"> (wynikający z braku stałej współpracy między podmiotami sektora prywatnego, publicznego i szkołami zawodowymi w zakresie planowania i wdrażania spójnej polityki oświatowej). Zaplanowane działania nie odnoszą się do zasadniczego problemu, a więc oferty edukacyjnej i kompetencji absolwentów szkół zawodowych. ROPS proponuje wprowadzenie konieczności opracowywania przez powiaty wieloletniego planu rozwoju kształcenia zawodowego, którego celem byłoby dostosowania kształcenia zawodowego do potrzeb lokalnego rynku pracy. </w:t>
      </w:r>
      <w:r w:rsidR="00030F23" w:rsidRPr="005615C1">
        <w:rPr>
          <w:rFonts w:asciiTheme="minorHAnsi" w:hAnsiTheme="minorHAnsi" w:cs="Arial"/>
        </w:rPr>
        <w:t xml:space="preserve">Działania takie winny być prowadzone </w:t>
      </w:r>
      <w:r w:rsidR="003E3B02" w:rsidRPr="005615C1">
        <w:rPr>
          <w:rFonts w:asciiTheme="minorHAnsi" w:hAnsiTheme="minorHAnsi" w:cs="Arial"/>
        </w:rPr>
        <w:br/>
      </w:r>
      <w:r w:rsidR="00030F23" w:rsidRPr="005615C1">
        <w:rPr>
          <w:rFonts w:asciiTheme="minorHAnsi" w:hAnsiTheme="minorHAnsi" w:cs="Arial"/>
        </w:rPr>
        <w:t xml:space="preserve">przez władze powiatu, a nie szkoły ze względu na konieczną skalę zmian. Tworzenie </w:t>
      </w:r>
      <w:r w:rsidR="008A0844" w:rsidRPr="005615C1">
        <w:rPr>
          <w:rFonts w:asciiTheme="minorHAnsi" w:hAnsiTheme="minorHAnsi" w:cs="Arial"/>
        </w:rPr>
        <w:t xml:space="preserve">materiałów multimedialnych </w:t>
      </w:r>
      <w:r w:rsidR="00030F23" w:rsidRPr="005615C1">
        <w:rPr>
          <w:rFonts w:asciiTheme="minorHAnsi" w:hAnsiTheme="minorHAnsi" w:cs="Arial"/>
        </w:rPr>
        <w:t>[1)] może być uzupełnieniem działań związanych z kształceniem zawodowym.</w:t>
      </w:r>
    </w:p>
    <w:p w:rsidR="00030F23" w:rsidRPr="005615C1" w:rsidRDefault="00030F23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ROPS proponuje nie zawężać adresatów OHP do młodzieży zagrożonej marginalizacją społeczną [3)].</w:t>
      </w:r>
    </w:p>
    <w:p w:rsidR="00030F23" w:rsidRPr="005615C1" w:rsidRDefault="00030F23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W źródła</w:t>
      </w:r>
      <w:r w:rsidR="006913D2" w:rsidRPr="005615C1">
        <w:rPr>
          <w:rFonts w:asciiTheme="minorHAnsi" w:hAnsiTheme="minorHAnsi" w:cs="Arial"/>
        </w:rPr>
        <w:t>ch</w:t>
      </w:r>
      <w:r w:rsidRPr="005615C1">
        <w:rPr>
          <w:rFonts w:asciiTheme="minorHAnsi" w:hAnsiTheme="minorHAnsi" w:cs="Arial"/>
        </w:rPr>
        <w:t xml:space="preserve"> finansowania nie wskazano finansowania dla działania 4). ROPS proponuje rozszerzyć podmioty koordynujące o powiaty.</w:t>
      </w:r>
    </w:p>
    <w:p w:rsidR="008A0844" w:rsidRPr="005615C1" w:rsidRDefault="008A0844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4636FA" w:rsidRPr="005615C1" w:rsidRDefault="00030F23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 xml:space="preserve">Działanie III.1. Zwiększenie uczestnictwa w życiu publicznym i zawodowym jednostek </w:t>
      </w:r>
      <w:r w:rsidR="003E3B02" w:rsidRPr="005615C1">
        <w:rPr>
          <w:rFonts w:asciiTheme="minorHAnsi" w:hAnsiTheme="minorHAnsi" w:cs="Arial"/>
          <w:b/>
        </w:rPr>
        <w:br/>
      </w:r>
      <w:r w:rsidRPr="005615C1">
        <w:rPr>
          <w:rFonts w:asciiTheme="minorHAnsi" w:hAnsiTheme="minorHAnsi" w:cs="Arial"/>
          <w:b/>
        </w:rPr>
        <w:t>i rodzin zagrożonych marginalizowaniem społecznym poprzez system aktywnej integracji.</w:t>
      </w:r>
    </w:p>
    <w:p w:rsidR="00030F23" w:rsidRPr="005615C1" w:rsidRDefault="00D76591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W działaniu zaplanowano certyfikację CIS/KIS przez ministra właściwego ds. zabezpieczenia społecznego (lub marszałka województwa) – w opinii ROPS obecny system nakładający obowiązek uzyskania statusu CIS przed rozpoczęciem działalności jest wystarczający. Z zapisu nie wynika, że statusu nie będzie nadawał wojewoda, co może prowadzić do zdublowania organów kontrolujących [2)].</w:t>
      </w:r>
    </w:p>
    <w:p w:rsidR="00D76591" w:rsidRPr="005615C1" w:rsidRDefault="00D76591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D76591" w:rsidRPr="005615C1" w:rsidRDefault="00D76591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III. 2. Budowa aktywnych, zdolnych do społecznego i ekonomicznego rozwoju marginalizowanych społeczności lokalnych.</w:t>
      </w:r>
    </w:p>
    <w:p w:rsidR="00D76591" w:rsidRPr="005615C1" w:rsidRDefault="00D76591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W opinii ROPS dane zawarte w ocenie zasobów pomocy społecznej nie umożliwiają „tworzenia diagnoz i profilów społeczności trudnych i wieloproblemowych” [1) a)]. </w:t>
      </w:r>
    </w:p>
    <w:p w:rsidR="006262C0" w:rsidRPr="005615C1" w:rsidRDefault="006262C0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Obecnie obowiązująca Ustawa o działalności pożytku publicznego i o wolontariacie oraz akty wykonawcze do tej ustawy umożliwiają przekazywanie środków publicznych w zakresie zlecania zadań publicznych na finansowanie wydatków o charakterze inwestycyjnym </w:t>
      </w:r>
      <w:r w:rsidR="003E3B0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lastRenderedPageBreak/>
        <w:t xml:space="preserve">z przeznaczeniem na umożliwienie realizacji usług społecznych, w związku z czym działanie </w:t>
      </w:r>
      <w:r w:rsidR="003E3B0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3) b) wydaje się być niecelowe.</w:t>
      </w:r>
    </w:p>
    <w:p w:rsidR="006262C0" w:rsidRPr="005615C1" w:rsidRDefault="006262C0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6262C0" w:rsidRPr="005615C1" w:rsidRDefault="006262C0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III.3. Rozwój społecznych usług użyteczności publicznej, zwłaszcza usług środowiskowych realizowanych przez podmioty sektora ekonomii społecznej, łączących aktywizację zawodową z budowaniem spójnego systemu usług społecznych.</w:t>
      </w:r>
    </w:p>
    <w:p w:rsidR="006262C0" w:rsidRPr="005615C1" w:rsidRDefault="00AE1AB4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Określenie progu procentowego dla zlecania usług [4) d)] może uniemożliwić realizację takich usług w gminach, gdzie podmioty ekonomii społecznej działają w bardzo ograniczonym zakresie (</w:t>
      </w:r>
      <w:r w:rsidR="00E06359" w:rsidRPr="005615C1">
        <w:rPr>
          <w:rFonts w:asciiTheme="minorHAnsi" w:hAnsiTheme="minorHAnsi" w:cs="Arial"/>
        </w:rPr>
        <w:t>z danych</w:t>
      </w:r>
      <w:r w:rsidR="00B56621" w:rsidRPr="005615C1">
        <w:rPr>
          <w:rFonts w:asciiTheme="minorHAnsi" w:hAnsiTheme="minorHAnsi" w:cs="Arial"/>
        </w:rPr>
        <w:t xml:space="preserve"> bazy ngo.pl</w:t>
      </w:r>
      <w:r w:rsidRPr="005615C1">
        <w:rPr>
          <w:rFonts w:asciiTheme="minorHAnsi" w:hAnsiTheme="minorHAnsi" w:cs="Arial"/>
        </w:rPr>
        <w:t xml:space="preserve"> </w:t>
      </w:r>
      <w:r w:rsidR="00E06359" w:rsidRPr="005615C1">
        <w:rPr>
          <w:rFonts w:asciiTheme="minorHAnsi" w:hAnsiTheme="minorHAnsi" w:cs="Arial"/>
        </w:rPr>
        <w:t xml:space="preserve">wynika, że są </w:t>
      </w:r>
      <w:r w:rsidRPr="005615C1">
        <w:rPr>
          <w:rFonts w:asciiTheme="minorHAnsi" w:hAnsiTheme="minorHAnsi" w:cs="Arial"/>
        </w:rPr>
        <w:t xml:space="preserve">gminy gdzie działają, np. wyłącznie organizacje </w:t>
      </w:r>
      <w:r w:rsidR="003E3B0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o charakterze sportowym i OSP).</w:t>
      </w:r>
    </w:p>
    <w:p w:rsidR="00E06359" w:rsidRPr="005615C1" w:rsidRDefault="00E06359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E06359" w:rsidRPr="005615C1" w:rsidRDefault="00E06359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IV.4. Rozwój środowiskowych form pomocy i samopomocy seniorów. Rozwój aktywności i wolontariatu seniorów.</w:t>
      </w:r>
    </w:p>
    <w:p w:rsidR="00E06359" w:rsidRPr="005615C1" w:rsidRDefault="00E06359" w:rsidP="00810454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ROPS proponuje umiejscowienie Centrów Wolontariatu na poziomie powiatu [6) c)]. </w:t>
      </w:r>
    </w:p>
    <w:p w:rsidR="006262C0" w:rsidRPr="005615C1" w:rsidRDefault="006262C0" w:rsidP="00810454">
      <w:pPr>
        <w:spacing w:after="0" w:line="360" w:lineRule="auto"/>
        <w:jc w:val="both"/>
        <w:rPr>
          <w:rFonts w:asciiTheme="minorHAnsi" w:hAnsiTheme="minorHAnsi" w:cs="Arial"/>
        </w:rPr>
      </w:pPr>
    </w:p>
    <w:p w:rsidR="004636FA" w:rsidRPr="005615C1" w:rsidRDefault="00F81DB3" w:rsidP="0081045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V.1. Rozwój mieszkalnictwa i budownictwa społecznego.</w:t>
      </w:r>
    </w:p>
    <w:p w:rsidR="00F81DB3" w:rsidRPr="005615C1" w:rsidRDefault="00F81DB3" w:rsidP="00F81DB3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Nie przypisano źródeł finansowania do poszczególnych działań.</w:t>
      </w:r>
    </w:p>
    <w:p w:rsidR="00E33857" w:rsidRPr="005615C1" w:rsidRDefault="00E33857" w:rsidP="00F81DB3">
      <w:pPr>
        <w:spacing w:after="0" w:line="360" w:lineRule="auto"/>
        <w:jc w:val="both"/>
        <w:rPr>
          <w:rFonts w:asciiTheme="minorHAnsi" w:hAnsiTheme="minorHAnsi" w:cs="Arial"/>
        </w:rPr>
      </w:pPr>
    </w:p>
    <w:p w:rsidR="00E33857" w:rsidRPr="005615C1" w:rsidRDefault="00E33857" w:rsidP="00F81DB3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V.2. Zintegrowane działania na rzecz zapobiegania utraty mieszkania, zadłużeniom czynszowym, eksmisjom i bezdomności.</w:t>
      </w:r>
    </w:p>
    <w:p w:rsidR="00E33857" w:rsidRPr="005615C1" w:rsidRDefault="00E33857" w:rsidP="00E33857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Nie przypisano źródeł finansowania do poszczególnych działań.</w:t>
      </w:r>
    </w:p>
    <w:p w:rsidR="00E33857" w:rsidRPr="005615C1" w:rsidRDefault="00654594" w:rsidP="00F81DB3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ROPS proponuje d</w:t>
      </w:r>
      <w:r w:rsidR="00E33857" w:rsidRPr="005615C1">
        <w:rPr>
          <w:rFonts w:asciiTheme="minorHAnsi" w:hAnsiTheme="minorHAnsi" w:cs="Arial"/>
        </w:rPr>
        <w:t>odanie do działania 2) działań o charakterze edukacyjnym, mających na celu wzrost świadomości ekonomicznej, szczególnie świadomego korzystania z instrumentów kredytowych, tak by zapobiegać zadłużeniu mieszkania.</w:t>
      </w:r>
    </w:p>
    <w:p w:rsidR="00E33857" w:rsidRPr="005615C1" w:rsidRDefault="00E33857" w:rsidP="00F81DB3">
      <w:pPr>
        <w:spacing w:after="0" w:line="360" w:lineRule="auto"/>
        <w:jc w:val="both"/>
        <w:rPr>
          <w:rFonts w:asciiTheme="minorHAnsi" w:hAnsiTheme="minorHAnsi" w:cs="Arial"/>
        </w:rPr>
      </w:pPr>
    </w:p>
    <w:p w:rsidR="00E33857" w:rsidRPr="005615C1" w:rsidRDefault="00E33857" w:rsidP="00F81DB3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 xml:space="preserve">Działanie V.3. Diagnozowanie i mierzenie </w:t>
      </w:r>
      <w:r w:rsidR="003E3B02" w:rsidRPr="005615C1">
        <w:rPr>
          <w:rFonts w:asciiTheme="minorHAnsi" w:hAnsiTheme="minorHAnsi" w:cs="Arial"/>
          <w:b/>
        </w:rPr>
        <w:t>problemu</w:t>
      </w:r>
      <w:r w:rsidRPr="005615C1">
        <w:rPr>
          <w:rFonts w:asciiTheme="minorHAnsi" w:hAnsiTheme="minorHAnsi" w:cs="Arial"/>
          <w:b/>
        </w:rPr>
        <w:t xml:space="preserve"> wykluczenia mieszkaniowego.</w:t>
      </w:r>
    </w:p>
    <w:p w:rsidR="00E33857" w:rsidRPr="005615C1" w:rsidRDefault="00E33857" w:rsidP="00E33857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Nie przypisano źródeł finansowania do poszczególnych działań.</w:t>
      </w:r>
    </w:p>
    <w:p w:rsidR="00E33857" w:rsidRPr="005615C1" w:rsidRDefault="00E33857" w:rsidP="00E33857">
      <w:pPr>
        <w:spacing w:after="0" w:line="360" w:lineRule="auto"/>
        <w:jc w:val="both"/>
        <w:rPr>
          <w:rFonts w:asciiTheme="minorHAnsi" w:hAnsiTheme="minorHAnsi" w:cs="Arial"/>
        </w:rPr>
      </w:pPr>
    </w:p>
    <w:p w:rsidR="00E33857" w:rsidRPr="005615C1" w:rsidRDefault="00DD3AE0" w:rsidP="00E33857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V.4. Rozwiązywanie problemu bezdomności.</w:t>
      </w: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Nie przypisano źródeł finansowania do poszczególnych działań.</w:t>
      </w: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>Z uwagi na konieczność współpracy międzysektorowej ROPS proponuje opracowanie, przyjęcie i wdrożenie rządowego Programu Rozwiązywania Problemu Bezdomności [1) a)].</w:t>
      </w: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lastRenderedPageBreak/>
        <w:t>Proponuje się rezygnację z certyfikacji usług dla osób bezdomnych [1) d)].</w:t>
      </w: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</w:rPr>
      </w:pP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615C1">
        <w:rPr>
          <w:rFonts w:asciiTheme="minorHAnsi" w:hAnsiTheme="minorHAnsi" w:cs="Arial"/>
          <w:b/>
        </w:rPr>
        <w:t>Działanie VI.1. Uporządkowanie systemu programowania polityki społecznej.</w:t>
      </w:r>
    </w:p>
    <w:p w:rsidR="00DD3AE0" w:rsidRPr="005615C1" w:rsidRDefault="00DD3AE0" w:rsidP="00DD3AE0">
      <w:pPr>
        <w:spacing w:after="0" w:line="360" w:lineRule="auto"/>
        <w:jc w:val="both"/>
        <w:rPr>
          <w:rFonts w:asciiTheme="minorHAnsi" w:hAnsiTheme="minorHAnsi" w:cs="Arial"/>
        </w:rPr>
      </w:pPr>
      <w:r w:rsidRPr="005615C1">
        <w:rPr>
          <w:rFonts w:asciiTheme="minorHAnsi" w:hAnsiTheme="minorHAnsi" w:cs="Arial"/>
        </w:rPr>
        <w:t xml:space="preserve">ROPS proponuje zawarcie programu współpracy z organizacjami obywatelskimi [1) c)] </w:t>
      </w:r>
      <w:r w:rsidR="003E3B02" w:rsidRPr="005615C1">
        <w:rPr>
          <w:rFonts w:asciiTheme="minorHAnsi" w:hAnsiTheme="minorHAnsi" w:cs="Arial"/>
        </w:rPr>
        <w:br/>
      </w:r>
      <w:r w:rsidRPr="005615C1">
        <w:rPr>
          <w:rFonts w:asciiTheme="minorHAnsi" w:hAnsiTheme="minorHAnsi" w:cs="Arial"/>
        </w:rPr>
        <w:t>w Rocznym programie współpracy z organizacjami pozarządowymi, który przyjmowany jest zgodnie z Ustawą o działalności pożytku publicznego i o wolontariacie. Tworzenie dodatkowego dokumentu może osłabić kluczowy dla współpracy administracji publicznej z III sektorem dokument jakim jest Roczny program oraz, poprzez sektorowe podejście, zmniejszy pole oddziaływan</w:t>
      </w:r>
      <w:r w:rsidR="003E3B02" w:rsidRPr="005615C1">
        <w:rPr>
          <w:rFonts w:asciiTheme="minorHAnsi" w:hAnsiTheme="minorHAnsi" w:cs="Arial"/>
        </w:rPr>
        <w:t xml:space="preserve">ia III sektora na odbiorców działań programów polityki społecznej (np. nie będzie uwzględniał działań o charakterze sportowym, kulturalnym, które prowadzone są </w:t>
      </w:r>
      <w:r w:rsidR="003E3B02" w:rsidRPr="005615C1">
        <w:rPr>
          <w:rFonts w:asciiTheme="minorHAnsi" w:hAnsiTheme="minorHAnsi" w:cs="Arial"/>
        </w:rPr>
        <w:br/>
        <w:t>przez organizacje III sektora i mogą być przewidziane do realizacji w Rocznym programie współpracy).</w:t>
      </w:r>
    </w:p>
    <w:p w:rsidR="00DD3AE0" w:rsidRPr="005615C1" w:rsidRDefault="00DD3AE0" w:rsidP="00E33857">
      <w:pPr>
        <w:spacing w:after="0" w:line="360" w:lineRule="auto"/>
        <w:jc w:val="both"/>
        <w:rPr>
          <w:rFonts w:asciiTheme="minorHAnsi" w:hAnsiTheme="minorHAnsi" w:cs="Arial"/>
        </w:rPr>
      </w:pPr>
    </w:p>
    <w:sectPr w:rsidR="00DD3AE0" w:rsidRPr="005615C1" w:rsidSect="004E19CC">
      <w:footerReference w:type="default" r:id="rId8"/>
      <w:type w:val="continuous"/>
      <w:pgSz w:w="11906" w:h="16838" w:code="9"/>
      <w:pgMar w:top="1276" w:right="1418" w:bottom="269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63" w:rsidRDefault="006C0D63" w:rsidP="006E1C64">
      <w:pPr>
        <w:spacing w:after="0" w:line="240" w:lineRule="auto"/>
      </w:pPr>
      <w:r>
        <w:separator/>
      </w:r>
    </w:p>
  </w:endnote>
  <w:endnote w:type="continuationSeparator" w:id="0">
    <w:p w:rsidR="006C0D63" w:rsidRDefault="006C0D63" w:rsidP="006E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78" w:rsidRDefault="00E75E78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63" w:rsidRDefault="006C0D63" w:rsidP="006E1C64">
      <w:pPr>
        <w:spacing w:after="0" w:line="240" w:lineRule="auto"/>
      </w:pPr>
      <w:r>
        <w:separator/>
      </w:r>
    </w:p>
  </w:footnote>
  <w:footnote w:type="continuationSeparator" w:id="0">
    <w:p w:rsidR="006C0D63" w:rsidRDefault="006C0D63" w:rsidP="006E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783"/>
    <w:multiLevelType w:val="hybridMultilevel"/>
    <w:tmpl w:val="FA368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42"/>
    <w:rsid w:val="00015374"/>
    <w:rsid w:val="0002584A"/>
    <w:rsid w:val="00030F23"/>
    <w:rsid w:val="00033CF6"/>
    <w:rsid w:val="00034311"/>
    <w:rsid w:val="000451CC"/>
    <w:rsid w:val="00053640"/>
    <w:rsid w:val="00072BC8"/>
    <w:rsid w:val="00074C2D"/>
    <w:rsid w:val="00097F16"/>
    <w:rsid w:val="000A416F"/>
    <w:rsid w:val="000B40F4"/>
    <w:rsid w:val="000B450B"/>
    <w:rsid w:val="000C6D72"/>
    <w:rsid w:val="00136F5E"/>
    <w:rsid w:val="00165C45"/>
    <w:rsid w:val="00167142"/>
    <w:rsid w:val="00183687"/>
    <w:rsid w:val="001A4A52"/>
    <w:rsid w:val="001B0CD0"/>
    <w:rsid w:val="001B5E09"/>
    <w:rsid w:val="001C036B"/>
    <w:rsid w:val="001F234A"/>
    <w:rsid w:val="00202954"/>
    <w:rsid w:val="00207E08"/>
    <w:rsid w:val="00227939"/>
    <w:rsid w:val="00267927"/>
    <w:rsid w:val="002764E7"/>
    <w:rsid w:val="00281229"/>
    <w:rsid w:val="002C31DE"/>
    <w:rsid w:val="002C6F14"/>
    <w:rsid w:val="002D02BC"/>
    <w:rsid w:val="002D18F5"/>
    <w:rsid w:val="002E4726"/>
    <w:rsid w:val="002E678D"/>
    <w:rsid w:val="002F23FF"/>
    <w:rsid w:val="00316CA6"/>
    <w:rsid w:val="00343116"/>
    <w:rsid w:val="00345BA8"/>
    <w:rsid w:val="0035067F"/>
    <w:rsid w:val="00372903"/>
    <w:rsid w:val="003824A5"/>
    <w:rsid w:val="003B4E25"/>
    <w:rsid w:val="003D5434"/>
    <w:rsid w:val="003D6FC4"/>
    <w:rsid w:val="003E3B02"/>
    <w:rsid w:val="00412AF0"/>
    <w:rsid w:val="004636FA"/>
    <w:rsid w:val="004A1B2B"/>
    <w:rsid w:val="004E19CC"/>
    <w:rsid w:val="004E64C0"/>
    <w:rsid w:val="00503421"/>
    <w:rsid w:val="00511A62"/>
    <w:rsid w:val="005301A9"/>
    <w:rsid w:val="005615C1"/>
    <w:rsid w:val="00574EEB"/>
    <w:rsid w:val="005A3267"/>
    <w:rsid w:val="005A5D3F"/>
    <w:rsid w:val="005C0DC1"/>
    <w:rsid w:val="005C42A1"/>
    <w:rsid w:val="005D03AF"/>
    <w:rsid w:val="005F6962"/>
    <w:rsid w:val="00617387"/>
    <w:rsid w:val="00622140"/>
    <w:rsid w:val="006262C0"/>
    <w:rsid w:val="00635033"/>
    <w:rsid w:val="006412AE"/>
    <w:rsid w:val="006417BF"/>
    <w:rsid w:val="00654594"/>
    <w:rsid w:val="00654F0D"/>
    <w:rsid w:val="00655FA8"/>
    <w:rsid w:val="00676615"/>
    <w:rsid w:val="00683EE9"/>
    <w:rsid w:val="0068702B"/>
    <w:rsid w:val="006913D2"/>
    <w:rsid w:val="006C0D63"/>
    <w:rsid w:val="006D332C"/>
    <w:rsid w:val="006D47AA"/>
    <w:rsid w:val="006E1C64"/>
    <w:rsid w:val="00725D75"/>
    <w:rsid w:val="007453DA"/>
    <w:rsid w:val="007462C0"/>
    <w:rsid w:val="0075023E"/>
    <w:rsid w:val="00750C99"/>
    <w:rsid w:val="00752A4B"/>
    <w:rsid w:val="007552D5"/>
    <w:rsid w:val="007734F4"/>
    <w:rsid w:val="0077524D"/>
    <w:rsid w:val="007A40F1"/>
    <w:rsid w:val="007B47BA"/>
    <w:rsid w:val="007D6C06"/>
    <w:rsid w:val="007E730C"/>
    <w:rsid w:val="007E75E3"/>
    <w:rsid w:val="007F6E92"/>
    <w:rsid w:val="007F7BE8"/>
    <w:rsid w:val="008035B0"/>
    <w:rsid w:val="00810454"/>
    <w:rsid w:val="008223E8"/>
    <w:rsid w:val="00824B1E"/>
    <w:rsid w:val="00834421"/>
    <w:rsid w:val="008413F6"/>
    <w:rsid w:val="00851117"/>
    <w:rsid w:val="0085448C"/>
    <w:rsid w:val="00864A5B"/>
    <w:rsid w:val="00880547"/>
    <w:rsid w:val="00884CC9"/>
    <w:rsid w:val="008A0844"/>
    <w:rsid w:val="008C50B2"/>
    <w:rsid w:val="008E683E"/>
    <w:rsid w:val="009135F5"/>
    <w:rsid w:val="009137A3"/>
    <w:rsid w:val="0092605E"/>
    <w:rsid w:val="00952DE1"/>
    <w:rsid w:val="00957F39"/>
    <w:rsid w:val="00966585"/>
    <w:rsid w:val="00970BD5"/>
    <w:rsid w:val="00997AAF"/>
    <w:rsid w:val="009B5118"/>
    <w:rsid w:val="009D7FAB"/>
    <w:rsid w:val="009E3BCF"/>
    <w:rsid w:val="009F22A6"/>
    <w:rsid w:val="00A11448"/>
    <w:rsid w:val="00A16558"/>
    <w:rsid w:val="00A2326D"/>
    <w:rsid w:val="00A2565F"/>
    <w:rsid w:val="00A428DB"/>
    <w:rsid w:val="00AB33A9"/>
    <w:rsid w:val="00AB6AF2"/>
    <w:rsid w:val="00AD78D9"/>
    <w:rsid w:val="00AE1AB4"/>
    <w:rsid w:val="00AF3FF3"/>
    <w:rsid w:val="00B44D3B"/>
    <w:rsid w:val="00B45AE4"/>
    <w:rsid w:val="00B46C91"/>
    <w:rsid w:val="00B56621"/>
    <w:rsid w:val="00B64695"/>
    <w:rsid w:val="00B73F00"/>
    <w:rsid w:val="00BA2FE5"/>
    <w:rsid w:val="00BD5ACA"/>
    <w:rsid w:val="00C0591E"/>
    <w:rsid w:val="00C12E3C"/>
    <w:rsid w:val="00C36080"/>
    <w:rsid w:val="00C622CF"/>
    <w:rsid w:val="00C63F9D"/>
    <w:rsid w:val="00C86EC9"/>
    <w:rsid w:val="00C90FA6"/>
    <w:rsid w:val="00C951FB"/>
    <w:rsid w:val="00CC346F"/>
    <w:rsid w:val="00D00525"/>
    <w:rsid w:val="00D12A58"/>
    <w:rsid w:val="00D26327"/>
    <w:rsid w:val="00D76591"/>
    <w:rsid w:val="00D93359"/>
    <w:rsid w:val="00DD3AE0"/>
    <w:rsid w:val="00DE4A4A"/>
    <w:rsid w:val="00E03D8E"/>
    <w:rsid w:val="00E06359"/>
    <w:rsid w:val="00E1296B"/>
    <w:rsid w:val="00E178A0"/>
    <w:rsid w:val="00E222F9"/>
    <w:rsid w:val="00E32405"/>
    <w:rsid w:val="00E33857"/>
    <w:rsid w:val="00E34857"/>
    <w:rsid w:val="00E349E8"/>
    <w:rsid w:val="00E41F2A"/>
    <w:rsid w:val="00E62E10"/>
    <w:rsid w:val="00E75E78"/>
    <w:rsid w:val="00E7726A"/>
    <w:rsid w:val="00E852F4"/>
    <w:rsid w:val="00E94A4C"/>
    <w:rsid w:val="00E94D33"/>
    <w:rsid w:val="00EB21C0"/>
    <w:rsid w:val="00EC6BB0"/>
    <w:rsid w:val="00EE324E"/>
    <w:rsid w:val="00F00900"/>
    <w:rsid w:val="00F035B1"/>
    <w:rsid w:val="00F04D5F"/>
    <w:rsid w:val="00F060BB"/>
    <w:rsid w:val="00F23CDF"/>
    <w:rsid w:val="00F37983"/>
    <w:rsid w:val="00F47A6F"/>
    <w:rsid w:val="00F81DB3"/>
    <w:rsid w:val="00F92C35"/>
    <w:rsid w:val="00F969DE"/>
    <w:rsid w:val="00FA0DF5"/>
    <w:rsid w:val="00FA1D62"/>
    <w:rsid w:val="00FC009F"/>
    <w:rsid w:val="00FD635E"/>
    <w:rsid w:val="00FE0BE2"/>
    <w:rsid w:val="00FE3084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F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A5D3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5D3F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5D03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C6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C64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C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2F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A5D3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5D3F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5D03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1C6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E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1C64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C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C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1534</Words>
  <Characters>10944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 Wilińska</cp:lastModifiedBy>
  <cp:revision>4</cp:revision>
  <cp:lastPrinted>2013-12-30T11:19:00Z</cp:lastPrinted>
  <dcterms:created xsi:type="dcterms:W3CDTF">2013-12-30T11:11:00Z</dcterms:created>
  <dcterms:modified xsi:type="dcterms:W3CDTF">2013-12-30T11:43:00Z</dcterms:modified>
</cp:coreProperties>
</file>